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9FC7" w14:textId="57D11241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  <w:r w:rsidRPr="002D3D1E">
        <w:rPr>
          <w:rFonts w:ascii="Times New Roman" w:eastAsia="Calibri-Bold" w:hAnsi="Times New Roman" w:cs="Times New Roman"/>
          <w:b/>
          <w:bCs/>
          <w:lang w:val="en-GB"/>
        </w:rPr>
        <w:t>CAPACITY PRODUCTS</w:t>
      </w:r>
    </w:p>
    <w:p w14:paraId="0AB62760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</w:p>
    <w:p w14:paraId="506C4CE4" w14:textId="09114699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  <w:r w:rsidRPr="002D3D1E">
        <w:rPr>
          <w:rFonts w:ascii="Times New Roman" w:eastAsia="Calibri-Bold" w:hAnsi="Times New Roman" w:cs="Times New Roman"/>
          <w:b/>
          <w:bCs/>
          <w:lang w:val="en-GB"/>
        </w:rPr>
        <w:t>6.1 Introduction</w:t>
      </w:r>
    </w:p>
    <w:p w14:paraId="76CE2250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</w:p>
    <w:p w14:paraId="39B13FD3" w14:textId="2D2524D6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6.1.1 The Transporter offers to Users its Gas Transmission Services as Capacity Products,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which are contracted either as Firm Capacity or Interruptible Capacity, in Physical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 xml:space="preserve">Flow Direction or </w:t>
      </w:r>
      <w:r w:rsidRPr="002D3D1E">
        <w:rPr>
          <w:rFonts w:ascii="Times New Roman" w:eastAsia="Calibri-Bold" w:hAnsi="Times New Roman" w:cs="Times New Roman"/>
          <w:lang w:val="en-GB"/>
        </w:rPr>
        <w:t xml:space="preserve">in </w:t>
      </w:r>
      <w:r>
        <w:rPr>
          <w:rFonts w:ascii="Times New Roman" w:eastAsia="Calibri-Bold" w:hAnsi="Times New Roman" w:cs="Times New Roman"/>
          <w:lang w:val="en-GB"/>
        </w:rPr>
        <w:t>Commercial</w:t>
      </w:r>
      <w:r w:rsidRPr="002D3D1E">
        <w:rPr>
          <w:rFonts w:ascii="Times New Roman" w:eastAsia="Calibri-Bold" w:hAnsi="Times New Roman" w:cs="Times New Roman"/>
          <w:lang w:val="en-GB"/>
        </w:rPr>
        <w:t xml:space="preserve"> Reverse Flow, for a period of one (1) Gas Year or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for a period shorter than one (1) Gas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Year.</w:t>
      </w:r>
    </w:p>
    <w:p w14:paraId="7A9DC0A0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5FEA5F63" w14:textId="10F3A2E1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6.1.2 Transporter offers:</w:t>
      </w:r>
    </w:p>
    <w:p w14:paraId="6DBC42D0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10E471C2" w14:textId="585968C6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6.1.2.1 Firm Yearly Capacity, as Firm Capacity in the Physical Flow Direction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for a period of one (1) Gas Year, which is offered only in case of the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Surrender, cessation of the Long-Term GTA and in case from the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Article 9.4 of this Network Code ("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Firm Yearly Capacity</w:t>
      </w:r>
      <w:r w:rsidRPr="002D3D1E">
        <w:rPr>
          <w:rFonts w:ascii="Times New Roman" w:eastAsia="Calibri-Bold" w:hAnsi="Times New Roman" w:cs="Times New Roman"/>
          <w:lang w:val="en-GB"/>
        </w:rPr>
        <w:t>"</w:t>
      </w:r>
      <w:proofErr w:type="gramStart"/>
      <w:r w:rsidRPr="002D3D1E">
        <w:rPr>
          <w:rFonts w:ascii="Times New Roman" w:eastAsia="Calibri-Bold" w:hAnsi="Times New Roman" w:cs="Times New Roman"/>
          <w:lang w:val="en-GB"/>
        </w:rPr>
        <w:t>);</w:t>
      </w:r>
      <w:proofErr w:type="gramEnd"/>
    </w:p>
    <w:p w14:paraId="6BFC43B4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3694B0BE" w14:textId="661AB5F2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6.1.2.2 Firm Short-Term Capacity, as Firm Capacity in the Physical Flow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Direction for a period shorter than one (1) Gas Year ("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Firm Short-Term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Capacity</w:t>
      </w:r>
      <w:r w:rsidRPr="002D3D1E">
        <w:rPr>
          <w:rFonts w:ascii="Times New Roman" w:eastAsia="Calibri-Bold" w:hAnsi="Times New Roman" w:cs="Times New Roman"/>
          <w:lang w:val="en-GB"/>
        </w:rPr>
        <w:t>")</w:t>
      </w:r>
    </w:p>
    <w:p w14:paraId="69B3D9B9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2C9504BE" w14:textId="3422E863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6.1.2.3 Interruptible Capacity, as capacity in the Physical Flow Direction for a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period shorter than one (1) Gas Year, that may be Interrupted in line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with the conditions stipulated in the Article 14 of this Network Code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("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Interruptible Capacity</w:t>
      </w:r>
      <w:r w:rsidRPr="002D3D1E">
        <w:rPr>
          <w:rFonts w:ascii="Times New Roman" w:eastAsia="Calibri-Bold" w:hAnsi="Times New Roman" w:cs="Times New Roman"/>
          <w:lang w:val="en-GB"/>
        </w:rPr>
        <w:t>")</w:t>
      </w:r>
    </w:p>
    <w:p w14:paraId="2C3BF832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4ED9C07F" w14:textId="04734073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6.1.2.4 Commercial Reverse Yearly Capacity, as capacity in the Commercial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Reverse Flow for a period of one (1) Gas Year, that may be Interrupted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in line with the conditions stipulated in the Article 14 of this Network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Code ("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Commercial Reverse Yearly Capacity</w:t>
      </w:r>
      <w:r w:rsidRPr="002D3D1E">
        <w:rPr>
          <w:rFonts w:ascii="Times New Roman" w:eastAsia="Calibri-Bold" w:hAnsi="Times New Roman" w:cs="Times New Roman"/>
          <w:lang w:val="en-GB"/>
        </w:rPr>
        <w:t>").</w:t>
      </w:r>
    </w:p>
    <w:p w14:paraId="7CC62987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5AE4CCCB" w14:textId="14B5E55F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6.1.2.5 Commercial Reverse Short-Term Capacity, as the capacity in the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Commercial Reverse Flow for a period shorter than one (1) Gas Year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that may be Interrupted in line with the conditions stipulated in th</w:t>
      </w:r>
      <w:r>
        <w:rPr>
          <w:rFonts w:ascii="Times New Roman" w:eastAsia="Calibri-Bold" w:hAnsi="Times New Roman" w:cs="Times New Roman"/>
          <w:lang w:val="en-GB"/>
        </w:rPr>
        <w:t xml:space="preserve">e </w:t>
      </w:r>
      <w:r w:rsidRPr="002D3D1E">
        <w:rPr>
          <w:rFonts w:ascii="Times New Roman" w:eastAsia="Calibri-Bold" w:hAnsi="Times New Roman" w:cs="Times New Roman"/>
          <w:lang w:val="en-GB"/>
        </w:rPr>
        <w:t>Article 14 of this Network Code ("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Commercial Reverse Short-Term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Capacity</w:t>
      </w:r>
      <w:r w:rsidRPr="002D3D1E">
        <w:rPr>
          <w:rFonts w:ascii="Times New Roman" w:eastAsia="Calibri-Bold" w:hAnsi="Times New Roman" w:cs="Times New Roman"/>
          <w:lang w:val="en-GB"/>
        </w:rPr>
        <w:t>").</w:t>
      </w:r>
    </w:p>
    <w:p w14:paraId="3EAF0F41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16917598" w14:textId="5CE901AF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6.1.3 The Transporter shall:</w:t>
      </w:r>
    </w:p>
    <w:p w14:paraId="71F284F1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23605A75" w14:textId="5A422F01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6.1.3.1 invite Users to make the offers for contracting Available Capacity for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 xml:space="preserve">each Capacity Product offered on </w:t>
      </w:r>
      <w:r w:rsidRPr="002D3D1E">
        <w:rPr>
          <w:rFonts w:ascii="Times New Roman" w:eastAsia="Calibri-Bold" w:hAnsi="Times New Roman" w:cs="Times New Roman"/>
          <w:lang w:val="en-GB"/>
        </w:rPr>
        <w:t>auctions.</w:t>
      </w:r>
    </w:p>
    <w:p w14:paraId="42A06824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02C8F3AF" w14:textId="6927F7CC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6.1.3.2 publish Available Capacity for each Capacity Product on the Capacity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Booking Platform; and</w:t>
      </w:r>
    </w:p>
    <w:p w14:paraId="7CE61E35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2B53EA42" w14:textId="6D072D0D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6.1.3.3 publish the Reserve Price for each Capacity Product and each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Interconnection Point on its website and on the Capacity Booking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Platform.</w:t>
      </w:r>
    </w:p>
    <w:p w14:paraId="666A1D32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23540674" w14:textId="2B0C1D53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6.1.4 Contracting of Capacity Products is performed in the auction procedure which are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conducted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through Capacity Booking Platform for each Interconnection Point, in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line with the Article 7 of this Network Code.</w:t>
      </w:r>
    </w:p>
    <w:p w14:paraId="5B51887D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69885D64" w14:textId="61EE130D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  <w:r w:rsidRPr="002D3D1E">
        <w:rPr>
          <w:rFonts w:ascii="Times New Roman" w:eastAsia="Calibri-Bold" w:hAnsi="Times New Roman" w:cs="Times New Roman"/>
          <w:b/>
          <w:bCs/>
          <w:lang w:val="en-GB"/>
        </w:rPr>
        <w:t>6.2 Firm Yearly Capacity</w:t>
      </w:r>
    </w:p>
    <w:p w14:paraId="055DCC4B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</w:p>
    <w:p w14:paraId="16A97BA1" w14:textId="5C2022BD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6.2.1 Transporter shall offer for contracting Firm Yearly Capacity when firm long-term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capacity from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 xml:space="preserve">the Long-Term GTA becomes available for contracting </w:t>
      </w:r>
      <w:proofErr w:type="gramStart"/>
      <w:r w:rsidRPr="002D3D1E">
        <w:rPr>
          <w:rFonts w:ascii="Times New Roman" w:eastAsia="Calibri-Bold" w:hAnsi="Times New Roman" w:cs="Times New Roman"/>
          <w:lang w:val="en-GB"/>
        </w:rPr>
        <w:t>on the basis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of</w:t>
      </w:r>
      <w:proofErr w:type="gramEnd"/>
      <w:r w:rsidRPr="002D3D1E">
        <w:rPr>
          <w:rFonts w:ascii="Times New Roman" w:eastAsia="Calibri-Bold" w:hAnsi="Times New Roman" w:cs="Times New Roman"/>
          <w:lang w:val="en-GB"/>
        </w:rPr>
        <w:t xml:space="preserve"> Surrender, cessation of the Long-Term GTA and in case from the Article 9.4 of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this Network Code.</w:t>
      </w:r>
    </w:p>
    <w:p w14:paraId="292C58DB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217CB01C" w14:textId="049DCF65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6.2.2 Firm Yearly Capacity shall be offered for a period of one (1) or more separate Gas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Years.</w:t>
      </w:r>
    </w:p>
    <w:p w14:paraId="7A6B56E5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347127BF" w14:textId="02F19A56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  <w:r w:rsidRPr="002D3D1E">
        <w:rPr>
          <w:rFonts w:ascii="Times New Roman" w:eastAsia="Calibri-Bold" w:hAnsi="Times New Roman" w:cs="Times New Roman"/>
          <w:b/>
          <w:bCs/>
          <w:lang w:val="en-GB"/>
        </w:rPr>
        <w:t>6.3 Firm Short-Term Capacity</w:t>
      </w:r>
    </w:p>
    <w:p w14:paraId="09BA948F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</w:p>
    <w:p w14:paraId="6F85C4D6" w14:textId="2B1B6C5C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lastRenderedPageBreak/>
        <w:t>6.3.1 The Transporter shall offer to the Users for contracting the following Capacity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Products as Firm Short-Term Capacity:</w:t>
      </w:r>
    </w:p>
    <w:p w14:paraId="58F72F0F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37167A94" w14:textId="11FDAD3E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6.3.1.1 Firm Quarterly Capacity, as Firm Short-Term Capacity contracted for a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period of a Gas Quarter (“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Firm Quarterly Capacity</w:t>
      </w:r>
      <w:r w:rsidRPr="002D3D1E">
        <w:rPr>
          <w:rFonts w:ascii="Times New Roman" w:eastAsia="Calibri-Bold" w:hAnsi="Times New Roman" w:cs="Times New Roman"/>
          <w:lang w:val="en-GB"/>
        </w:rPr>
        <w:t>”</w:t>
      </w:r>
      <w:proofErr w:type="gramStart"/>
      <w:r w:rsidRPr="002D3D1E">
        <w:rPr>
          <w:rFonts w:ascii="Times New Roman" w:eastAsia="Calibri-Bold" w:hAnsi="Times New Roman" w:cs="Times New Roman"/>
          <w:lang w:val="en-GB"/>
        </w:rPr>
        <w:t>);</w:t>
      </w:r>
      <w:proofErr w:type="gramEnd"/>
    </w:p>
    <w:p w14:paraId="198BFC77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06FBB3DE" w14:textId="3084799B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6.3.1.2 Firm Monthly Capacity, as Firm Short-Term Capacity contracted for a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period of a Gas Month (“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Firm Monthly Capacity</w:t>
      </w:r>
      <w:r w:rsidRPr="002D3D1E">
        <w:rPr>
          <w:rFonts w:ascii="Times New Roman" w:eastAsia="Calibri-Bold" w:hAnsi="Times New Roman" w:cs="Times New Roman"/>
          <w:lang w:val="en-GB"/>
        </w:rPr>
        <w:t>”</w:t>
      </w:r>
      <w:proofErr w:type="gramStart"/>
      <w:r w:rsidRPr="002D3D1E">
        <w:rPr>
          <w:rFonts w:ascii="Times New Roman" w:eastAsia="Calibri-Bold" w:hAnsi="Times New Roman" w:cs="Times New Roman"/>
          <w:lang w:val="en-GB"/>
        </w:rPr>
        <w:t>);</w:t>
      </w:r>
      <w:proofErr w:type="gramEnd"/>
    </w:p>
    <w:p w14:paraId="6D5807E7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27785607" w14:textId="7CF11A52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6.3.1.3 Firm Daily Capacity, as Firm Short-Term Capacity contracted for a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period of a Gas Day (“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Firm Daily Capacity</w:t>
      </w:r>
      <w:r w:rsidRPr="002D3D1E">
        <w:rPr>
          <w:rFonts w:ascii="Times New Roman" w:eastAsia="Calibri-Bold" w:hAnsi="Times New Roman" w:cs="Times New Roman"/>
          <w:lang w:val="en-GB"/>
        </w:rPr>
        <w:t>”); and</w:t>
      </w:r>
    </w:p>
    <w:p w14:paraId="185D5296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78B9A0A9" w14:textId="32A3DD70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6.3.1.4 Firm Within-Day Capacity, as Firm Short-Term Capacity contracted for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a period within a Gas Day (“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Firm Within-Day Capacity</w:t>
      </w:r>
      <w:r w:rsidRPr="002D3D1E">
        <w:rPr>
          <w:rFonts w:ascii="Times New Roman" w:eastAsia="Calibri-Bold" w:hAnsi="Times New Roman" w:cs="Times New Roman"/>
          <w:lang w:val="en-GB"/>
        </w:rPr>
        <w:t>”).</w:t>
      </w:r>
    </w:p>
    <w:p w14:paraId="67597587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11F37A58" w14:textId="49B34781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6.3.2 Firm Short-Term Capacity is offered independently at each Interconnection Point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and so that Users separately contract Firm Short-Term Capacity at the Entry Point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proofErr w:type="spellStart"/>
      <w:r w:rsidRPr="002D3D1E">
        <w:rPr>
          <w:rFonts w:ascii="Times New Roman" w:eastAsia="Calibri-Bold" w:hAnsi="Times New Roman" w:cs="Times New Roman"/>
          <w:lang w:val="en-GB"/>
        </w:rPr>
        <w:t>Kirevo</w:t>
      </w:r>
      <w:proofErr w:type="spellEnd"/>
      <w:r w:rsidRPr="002D3D1E">
        <w:rPr>
          <w:rFonts w:ascii="Times New Roman" w:eastAsia="Calibri-Bold" w:hAnsi="Times New Roman" w:cs="Times New Roman"/>
          <w:lang w:val="en-GB"/>
        </w:rPr>
        <w:t>/</w:t>
      </w:r>
      <w:proofErr w:type="spellStart"/>
      <w:r w:rsidRPr="002D3D1E">
        <w:rPr>
          <w:rFonts w:ascii="Times New Roman" w:eastAsia="Calibri-Bold" w:hAnsi="Times New Roman" w:cs="Times New Roman"/>
          <w:lang w:val="en-GB"/>
        </w:rPr>
        <w:t>Zaječar</w:t>
      </w:r>
      <w:proofErr w:type="spellEnd"/>
      <w:r w:rsidRPr="002D3D1E">
        <w:rPr>
          <w:rFonts w:ascii="Times New Roman" w:eastAsia="Calibri-Bold" w:hAnsi="Times New Roman" w:cs="Times New Roman"/>
          <w:lang w:val="en-GB"/>
        </w:rPr>
        <w:t xml:space="preserve"> and/or Exit Point(s).</w:t>
      </w:r>
    </w:p>
    <w:p w14:paraId="5CF9578E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44A94EC5" w14:textId="64A0BE12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  <w:r w:rsidRPr="002D3D1E">
        <w:rPr>
          <w:rFonts w:ascii="Times New Roman" w:eastAsia="Calibri-Bold" w:hAnsi="Times New Roman" w:cs="Times New Roman"/>
          <w:b/>
          <w:bCs/>
          <w:lang w:val="en-GB"/>
        </w:rPr>
        <w:t>6.4 Interruptible Capacity</w:t>
      </w:r>
    </w:p>
    <w:p w14:paraId="05A8B06E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</w:p>
    <w:p w14:paraId="1A96297E" w14:textId="4F2C8DB4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6.4.1 Interruptible Daily Capacity shall be offered by the Transporter for contracting as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Capacity Product to the Users at an Interconnection Point only when there is no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Available Capacity for Firm Short-Term Capacity at that Interconnection Point for the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following Gas Day (“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Interruptible Daily Capacity</w:t>
      </w:r>
      <w:r w:rsidRPr="002D3D1E">
        <w:rPr>
          <w:rFonts w:ascii="Times New Roman" w:eastAsia="Calibri-Bold" w:hAnsi="Times New Roman" w:cs="Times New Roman"/>
          <w:lang w:val="en-GB"/>
        </w:rPr>
        <w:t>”).</w:t>
      </w:r>
    </w:p>
    <w:p w14:paraId="12EBF631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49020DC4" w14:textId="0958A889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6.4.2 Interruptible Capacity is offered independently at each Interconnection Point and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therefore Users separately contract Interruptible Capacity at the Entry Point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proofErr w:type="spellStart"/>
      <w:r w:rsidRPr="002D3D1E">
        <w:rPr>
          <w:rFonts w:ascii="Times New Roman" w:eastAsia="Calibri-Bold" w:hAnsi="Times New Roman" w:cs="Times New Roman"/>
          <w:lang w:val="en-GB"/>
        </w:rPr>
        <w:t>Kirevo</w:t>
      </w:r>
      <w:proofErr w:type="spellEnd"/>
      <w:r w:rsidRPr="002D3D1E">
        <w:rPr>
          <w:rFonts w:ascii="Times New Roman" w:eastAsia="Calibri-Bold" w:hAnsi="Times New Roman" w:cs="Times New Roman"/>
          <w:lang w:val="en-GB"/>
        </w:rPr>
        <w:t>/</w:t>
      </w:r>
      <w:proofErr w:type="spellStart"/>
      <w:r w:rsidRPr="002D3D1E">
        <w:rPr>
          <w:rFonts w:ascii="Times New Roman" w:eastAsia="Calibri-Bold" w:hAnsi="Times New Roman" w:cs="Times New Roman"/>
          <w:lang w:val="en-GB"/>
        </w:rPr>
        <w:t>Zaječar</w:t>
      </w:r>
      <w:proofErr w:type="spellEnd"/>
      <w:r w:rsidRPr="002D3D1E">
        <w:rPr>
          <w:rFonts w:ascii="Times New Roman" w:eastAsia="Calibri-Bold" w:hAnsi="Times New Roman" w:cs="Times New Roman"/>
          <w:lang w:val="en-GB"/>
        </w:rPr>
        <w:t xml:space="preserve"> and/or Exit Points.</w:t>
      </w:r>
    </w:p>
    <w:p w14:paraId="086A31DC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4818D5C5" w14:textId="073E1D2F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6.4.3 Within-Day Interruptible Capacity shall be contracted in line with the Article 12.8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of this Network Code.</w:t>
      </w:r>
    </w:p>
    <w:p w14:paraId="541E2D28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7BCDC499" w14:textId="24B738B7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  <w:r w:rsidRPr="002D3D1E">
        <w:rPr>
          <w:rFonts w:ascii="Times New Roman" w:eastAsia="Calibri-Bold" w:hAnsi="Times New Roman" w:cs="Times New Roman"/>
          <w:b/>
          <w:bCs/>
          <w:lang w:val="en-GB"/>
        </w:rPr>
        <w:t>6.5 Commercial Reverse Capacity</w:t>
      </w:r>
    </w:p>
    <w:p w14:paraId="24078E83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lang w:val="en-GB"/>
        </w:rPr>
      </w:pPr>
    </w:p>
    <w:p w14:paraId="266C908F" w14:textId="0DA9FE28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6.5.1 Commercial Reverse Capacity (which is in a Commercial Reverse Flow) shall be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offered for contracting by the Transporter on an interruptible basis.</w:t>
      </w:r>
    </w:p>
    <w:p w14:paraId="14D71E54" w14:textId="77777777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2B6C4AD2" w14:textId="756D28F2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6.5.2 The Transporter shall offer to the Users for contracting the following Capacity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Products as Commercial Reverse Capacity:</w:t>
      </w:r>
    </w:p>
    <w:p w14:paraId="47EE0AC9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747F1BEC" w14:textId="122099AA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 xml:space="preserve">6.5.2.1 Commercial Reverse Yearly </w:t>
      </w:r>
      <w:proofErr w:type="gramStart"/>
      <w:r w:rsidRPr="002D3D1E">
        <w:rPr>
          <w:rFonts w:ascii="Times New Roman" w:eastAsia="Calibri-Bold" w:hAnsi="Times New Roman" w:cs="Times New Roman"/>
          <w:lang w:val="en-GB"/>
        </w:rPr>
        <w:t>Capacity;</w:t>
      </w:r>
      <w:proofErr w:type="gramEnd"/>
    </w:p>
    <w:p w14:paraId="07B3BDAB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574FB69F" w14:textId="698E7EF6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6.5.2.2 Commercial Reverse Quarterly Capacity, as Commercial Short-Term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Reverse Capacity contracted for the period of a Gas Quarter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("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Commercial Reverse Quarterly Capacity</w:t>
      </w:r>
      <w:r w:rsidRPr="002D3D1E">
        <w:rPr>
          <w:rFonts w:ascii="Times New Roman" w:eastAsia="Calibri-Bold" w:hAnsi="Times New Roman" w:cs="Times New Roman"/>
          <w:lang w:val="en-GB"/>
        </w:rPr>
        <w:t>")</w:t>
      </w:r>
    </w:p>
    <w:p w14:paraId="1AA98A79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033154F4" w14:textId="646E8205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6.5.2.3 Commercial Reverse Monthly Capacity, as Commercial Short-Term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Reverse Capacity contracted for the period of a Gas Month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("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Commercial Reverse Monthly Capacity</w:t>
      </w:r>
      <w:r w:rsidRPr="002D3D1E">
        <w:rPr>
          <w:rFonts w:ascii="Times New Roman" w:eastAsia="Calibri-Bold" w:hAnsi="Times New Roman" w:cs="Times New Roman"/>
          <w:lang w:val="en-GB"/>
        </w:rPr>
        <w:t>"); an</w:t>
      </w:r>
      <w:r>
        <w:rPr>
          <w:rFonts w:ascii="Times New Roman" w:eastAsia="Calibri-Bold" w:hAnsi="Times New Roman" w:cs="Times New Roman"/>
          <w:lang w:val="en-GB"/>
        </w:rPr>
        <w:t>d</w:t>
      </w:r>
    </w:p>
    <w:p w14:paraId="05DE8B46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53162728" w14:textId="0FBBA2CA" w:rsid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6.5.2.4 Commercial Reverse Daily Capacity, as Commercial Short-Term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Reverse Capacity contracted for the period of a Gas Day ("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Commercial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b/>
          <w:bCs/>
          <w:lang w:val="en-GB"/>
        </w:rPr>
        <w:t>Reverse Daily Capacity</w:t>
      </w:r>
      <w:r w:rsidRPr="002D3D1E">
        <w:rPr>
          <w:rFonts w:ascii="Times New Roman" w:eastAsia="Calibri-Bold" w:hAnsi="Times New Roman" w:cs="Times New Roman"/>
          <w:lang w:val="en-GB"/>
        </w:rPr>
        <w:t>").</w:t>
      </w:r>
    </w:p>
    <w:p w14:paraId="012D27EC" w14:textId="77777777" w:rsidR="002D3D1E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</w:p>
    <w:p w14:paraId="255B5720" w14:textId="76CD5230" w:rsidR="008373CA" w:rsidRPr="002D3D1E" w:rsidRDefault="002D3D1E" w:rsidP="002D3D1E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lang w:val="en-GB"/>
        </w:rPr>
      </w:pPr>
      <w:r w:rsidRPr="002D3D1E">
        <w:rPr>
          <w:rFonts w:ascii="Times New Roman" w:eastAsia="Calibri-Bold" w:hAnsi="Times New Roman" w:cs="Times New Roman"/>
          <w:lang w:val="en-GB"/>
        </w:rPr>
        <w:t>6.5.3 User that intends to contract Commercial Reverse Capacity must contract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Commercial Reverse Capacity as a combination of equal amounts of Contracted</w:t>
      </w:r>
      <w:r>
        <w:rPr>
          <w:rFonts w:ascii="Times New Roman" w:eastAsia="Calibri-Bold" w:hAnsi="Times New Roman" w:cs="Times New Roman"/>
          <w:lang w:val="en-GB"/>
        </w:rPr>
        <w:t xml:space="preserve"> </w:t>
      </w:r>
      <w:r w:rsidRPr="002D3D1E">
        <w:rPr>
          <w:rFonts w:ascii="Times New Roman" w:eastAsia="Calibri-Bold" w:hAnsi="Times New Roman" w:cs="Times New Roman"/>
          <w:lang w:val="en-GB"/>
        </w:rPr>
        <w:t>Capacity at one Contracted Entry Point and one Contracted Exit Point.</w:t>
      </w:r>
    </w:p>
    <w:sectPr w:rsidR="008373CA" w:rsidRPr="002D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1E"/>
    <w:rsid w:val="002D3D1E"/>
    <w:rsid w:val="00411E6A"/>
    <w:rsid w:val="008373CA"/>
    <w:rsid w:val="00A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C5AF"/>
  <w15:chartTrackingRefBased/>
  <w15:docId w15:val="{DF0A133B-123A-4738-B406-E4F2239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E6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Kapusta</dc:creator>
  <cp:keywords/>
  <dc:description/>
  <cp:lastModifiedBy>Andrej Kapusta</cp:lastModifiedBy>
  <cp:revision>1</cp:revision>
  <dcterms:created xsi:type="dcterms:W3CDTF">2021-02-23T11:42:00Z</dcterms:created>
  <dcterms:modified xsi:type="dcterms:W3CDTF">2021-02-23T11:49:00Z</dcterms:modified>
</cp:coreProperties>
</file>