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E4059" w14:textId="3D550CA4" w:rsidR="00CD5BEF" w:rsidRPr="004059A6" w:rsidRDefault="00CD5BEF" w:rsidP="004059A6">
      <w:pPr>
        <w:spacing w:after="0" w:line="240" w:lineRule="auto"/>
        <w:ind w:left="-567" w:right="-613" w:firstLine="567"/>
        <w:rPr>
          <w:rFonts w:ascii="Times New Roman" w:eastAsia="Times New Roman" w:hAnsi="Times New Roman" w:cs="Times New Roman"/>
          <w:b/>
          <w:bCs/>
          <w:i/>
          <w:iCs/>
          <w:lang w:eastAsia="sr-Latn-RS"/>
        </w:rPr>
      </w:pPr>
      <w:r w:rsidRPr="004059A6">
        <w:rPr>
          <w:rFonts w:ascii="Times New Roman" w:eastAsia="Times New Roman" w:hAnsi="Times New Roman" w:cs="Times New Roman"/>
          <w:b/>
          <w:bCs/>
          <w:i/>
          <w:iCs/>
          <w:lang w:eastAsia="sr-Latn-RS"/>
        </w:rPr>
        <w:t>Kratak rezime odredbi o raspodeli kapaciteta i upravljanju zagušenjima</w:t>
      </w:r>
    </w:p>
    <w:p w14:paraId="02D2CD65" w14:textId="77777777" w:rsidR="00CD5BEF" w:rsidRPr="004059A6" w:rsidRDefault="00CD5BEF" w:rsidP="00CD5BEF">
      <w:pPr>
        <w:spacing w:after="0" w:line="240" w:lineRule="auto"/>
        <w:ind w:left="-567" w:right="-613"/>
        <w:rPr>
          <w:rFonts w:ascii="Times New Roman" w:eastAsia="Times New Roman" w:hAnsi="Times New Roman" w:cs="Times New Roman"/>
          <w:b/>
          <w:bCs/>
          <w:i/>
          <w:iCs/>
          <w:lang w:eastAsia="sr-Latn-RS"/>
        </w:rPr>
      </w:pPr>
    </w:p>
    <w:p w14:paraId="3D313CFD" w14:textId="329E429D" w:rsidR="00CD5BEF" w:rsidRPr="004059A6" w:rsidRDefault="00CD5BEF" w:rsidP="00CD5BEF">
      <w:pPr>
        <w:rPr>
          <w:rFonts w:ascii="Times New Roman" w:hAnsi="Times New Roman" w:cs="Times New Roman"/>
        </w:rPr>
      </w:pPr>
      <w:r w:rsidRPr="004059A6">
        <w:rPr>
          <w:rFonts w:ascii="Times New Roman" w:hAnsi="Times New Roman" w:cs="Times New Roman"/>
        </w:rPr>
        <w:t>Transporter objavljuje Raspoloživi kapacitet za svaki kratkoročni Кapacitetni proizvod na Platformi za rezervaciju kapaciteta i poziva Кorisnike da mu učine ponude za ugovaranje Raspoloživih kapaciteta za svaki Кapacitetni proizvod koji nudi na aukcijama. Takodje, transporter objavljuje Početnu cenu za svaki Кapacitetni proizvod za svaku Tačku interkonekcije na svojoj internet strani i na Platformi za rezervaciju kapaciteta.</w:t>
      </w:r>
    </w:p>
    <w:p w14:paraId="24FD91B3" w14:textId="77777777" w:rsidR="00CD5BEF" w:rsidRPr="004059A6" w:rsidRDefault="00CD5BEF" w:rsidP="00CD5BEF">
      <w:pPr>
        <w:rPr>
          <w:rFonts w:ascii="Times New Roman" w:hAnsi="Times New Roman" w:cs="Times New Roman"/>
        </w:rPr>
      </w:pPr>
      <w:r w:rsidRPr="004059A6">
        <w:rPr>
          <w:rFonts w:ascii="Times New Roman" w:hAnsi="Times New Roman" w:cs="Times New Roman"/>
        </w:rPr>
        <w:t xml:space="preserve">U okviru rezervisanog kapaciteta, korisnici vrše nominacije, tj. Najave potrebnih količina gasa, u skladu sa poglavljem 12 pravila rada TS gastrans. </w:t>
      </w:r>
    </w:p>
    <w:p w14:paraId="2ECB4710" w14:textId="77777777" w:rsidR="00CD5BEF" w:rsidRPr="004059A6" w:rsidRDefault="00CD5BEF" w:rsidP="00CD5BEF">
      <w:pPr>
        <w:rPr>
          <w:rFonts w:ascii="Times New Roman" w:hAnsi="Times New Roman" w:cs="Times New Roman"/>
        </w:rPr>
      </w:pPr>
      <w:r w:rsidRPr="004059A6">
        <w:rPr>
          <w:rFonts w:ascii="Times New Roman" w:hAnsi="Times New Roman" w:cs="Times New Roman"/>
        </w:rPr>
        <w:t>Ugovorno zagušenje znači da nivo potražnje za neprekidnim kapacitetom premašuje tehnički kapacitet. Upravljanje zagušenjem podrazumeva upravljanje sistemom u cilju optimalnog i maksimalnog iskorišćenja tehničkog kapaciteta i blagovremenog otkrivanja budućih tačaka zagušenja;</w:t>
      </w:r>
    </w:p>
    <w:p w14:paraId="4771EBC8" w14:textId="77777777" w:rsidR="00CD5BEF" w:rsidRPr="004059A6" w:rsidRDefault="00CD5BEF" w:rsidP="00CD5BEF">
      <w:pPr>
        <w:rPr>
          <w:rFonts w:ascii="Times New Roman" w:hAnsi="Times New Roman" w:cs="Times New Roman"/>
        </w:rPr>
      </w:pPr>
      <w:r w:rsidRPr="004059A6">
        <w:rPr>
          <w:rFonts w:ascii="Times New Roman" w:hAnsi="Times New Roman" w:cs="Times New Roman"/>
        </w:rPr>
        <w:t>Načela upravljanja zagušenjem i raspodjele kapaciteta se temelje na oslobađanju neiskorišćenog kapaciteta, tako da se korisnicima sistema omogući da daju u zakup ili preprodaju svoj ugovoreni kapacitet, i na obavezi operatora transportnih sistema da neiskorišćeni kapacitet ponudi na tržištu, najmanje na „day-ahead” osnovi (dan unapred) i kao neprekidni kapacitet. Ova načela bi trebalo primeniti na ukupni ugovoreni kapacitet, uključujući postojeće ugovore. Neka od ovih načela su:</w:t>
      </w:r>
    </w:p>
    <w:p w14:paraId="786F2F9E" w14:textId="77777777" w:rsidR="00CD5BEF" w:rsidRPr="004059A6" w:rsidRDefault="00CD5BEF" w:rsidP="00CD5BEF">
      <w:pPr>
        <w:rPr>
          <w:rFonts w:ascii="Times New Roman" w:hAnsi="Times New Roman" w:cs="Times New Roman"/>
        </w:rPr>
      </w:pPr>
      <w:r w:rsidRPr="004059A6">
        <w:rPr>
          <w:rFonts w:ascii="Times New Roman" w:hAnsi="Times New Roman" w:cs="Times New Roman"/>
        </w:rPr>
        <w:t>•</w:t>
      </w:r>
      <w:r w:rsidRPr="004059A6">
        <w:rPr>
          <w:rFonts w:ascii="Times New Roman" w:hAnsi="Times New Roman" w:cs="Times New Roman"/>
        </w:rPr>
        <w:tab/>
        <w:t>Predaja ugovorenog kapaciteta (detaljno objašnjeno u Poglavlju 8 NC)</w:t>
      </w:r>
    </w:p>
    <w:p w14:paraId="5C82CA0A" w14:textId="77777777" w:rsidR="00CD5BEF" w:rsidRPr="004059A6" w:rsidRDefault="00CD5BEF" w:rsidP="00CD5BEF">
      <w:pPr>
        <w:rPr>
          <w:rFonts w:ascii="Times New Roman" w:hAnsi="Times New Roman" w:cs="Times New Roman"/>
        </w:rPr>
      </w:pPr>
      <w:r w:rsidRPr="004059A6">
        <w:rPr>
          <w:rFonts w:ascii="Times New Roman" w:hAnsi="Times New Roman" w:cs="Times New Roman"/>
        </w:rPr>
        <w:t>•</w:t>
      </w:r>
      <w:r w:rsidRPr="004059A6">
        <w:rPr>
          <w:rFonts w:ascii="Times New Roman" w:hAnsi="Times New Roman" w:cs="Times New Roman"/>
        </w:rPr>
        <w:tab/>
        <w:t>Sekundarna trgovina kapacitetima (detaljno objašnjeno u Poglavlju 10 NC)</w:t>
      </w:r>
    </w:p>
    <w:p w14:paraId="208DD566" w14:textId="77777777" w:rsidR="00CD5BEF" w:rsidRPr="004059A6" w:rsidRDefault="00CD5BEF" w:rsidP="00CD5BEF">
      <w:pPr>
        <w:rPr>
          <w:rFonts w:ascii="Times New Roman" w:hAnsi="Times New Roman" w:cs="Times New Roman"/>
        </w:rPr>
      </w:pPr>
      <w:r w:rsidRPr="004059A6">
        <w:rPr>
          <w:rFonts w:ascii="Times New Roman" w:hAnsi="Times New Roman" w:cs="Times New Roman"/>
        </w:rPr>
        <w:t>•</w:t>
      </w:r>
      <w:r w:rsidRPr="004059A6">
        <w:rPr>
          <w:rFonts w:ascii="Times New Roman" w:hAnsi="Times New Roman" w:cs="Times New Roman"/>
        </w:rPr>
        <w:tab/>
        <w:t>Metoda prekomerne nominacije - renominacije - (detaljno objašnjeno u Poglavlju 12 NC)</w:t>
      </w:r>
    </w:p>
    <w:p w14:paraId="2AB9A2C0" w14:textId="77777777" w:rsidR="00CD5BEF" w:rsidRPr="004059A6" w:rsidRDefault="00CD5BEF">
      <w:pPr>
        <w:rPr>
          <w:rFonts w:ascii="Times New Roman" w:hAnsi="Times New Roman" w:cs="Times New Roman"/>
        </w:rPr>
      </w:pPr>
    </w:p>
    <w:sectPr w:rsidR="00CD5BEF" w:rsidRPr="004059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BEF"/>
    <w:rsid w:val="000541B2"/>
    <w:rsid w:val="004059A6"/>
    <w:rsid w:val="00CD5BE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23E08"/>
  <w15:chartTrackingRefBased/>
  <w15:docId w15:val="{F1689B41-7B13-4F3C-80C9-12A83C63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B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Dusan Nikolicin</dc:creator>
  <cp:keywords/>
  <dc:description/>
  <cp:lastModifiedBy>Andrej Kapusta</cp:lastModifiedBy>
  <cp:revision>2</cp:revision>
  <dcterms:created xsi:type="dcterms:W3CDTF">2021-02-23T11:34:00Z</dcterms:created>
  <dcterms:modified xsi:type="dcterms:W3CDTF">2021-02-23T11:34:00Z</dcterms:modified>
</cp:coreProperties>
</file>